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4" w:rsidRDefault="00975164" w:rsidP="00975164">
      <w:pPr>
        <w:pStyle w:val="Kop1"/>
      </w:pPr>
      <w:r>
        <w:t xml:space="preserve">Rol informatieveiligheidsconsulent </w:t>
      </w:r>
    </w:p>
    <w:p w:rsidR="00975164" w:rsidRDefault="00975164" w:rsidP="00975164">
      <w:r>
        <w:t>Bij decreet vastgelegd</w:t>
      </w:r>
    </w:p>
    <w:p w:rsidR="00975164" w:rsidRPr="00883B7F" w:rsidRDefault="00975164" w:rsidP="009751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flanders-sans" w:hAnsi="flanders-sans"/>
          <w:sz w:val="27"/>
          <w:szCs w:val="27"/>
          <w:lang w:val="nl-NL"/>
        </w:rPr>
      </w:pPr>
      <w:hyperlink r:id="rId8" w:tgtFrame="_blank" w:history="1">
        <w:r w:rsidRPr="00883B7F">
          <w:rPr>
            <w:rFonts w:eastAsiaTheme="majorEastAsia"/>
          </w:rPr>
          <w:t>Besluit van de Vlaamse Regering van 15 mei 2009 betreffende de veiligheidsconsulenten, vermeld in artikel 9 van het decreet van 18 juli 2008 betreffende het elektronische bestuurlijke gegevensverkeer</w:t>
        </w:r>
      </w:hyperlink>
      <w:r w:rsidRPr="00883B7F">
        <w:t xml:space="preserve"> </w:t>
      </w:r>
      <w:hyperlink r:id="rId9" w:history="1">
        <w:r w:rsidRPr="001F3838">
          <w:rPr>
            <w:rStyle w:val="Hyperlink"/>
            <w:b/>
          </w:rPr>
          <w:t>http://vtc.corve.be/docs/E_GOV_decreet_BVR_VEILIGHEID.pdf</w:t>
        </w:r>
      </w:hyperlink>
      <w:r>
        <w:rPr>
          <w:b/>
        </w:rPr>
        <w:t xml:space="preserve"> </w:t>
      </w:r>
      <w:r>
        <w:t xml:space="preserve">  </w:t>
      </w:r>
    </w:p>
    <w:p w:rsidR="00975164" w:rsidRDefault="00975164" w:rsidP="00975164">
      <w:pPr>
        <w:pStyle w:val="Opsomming2"/>
        <w:numPr>
          <w:ilvl w:val="0"/>
          <w:numId w:val="8"/>
        </w:numPr>
        <w:rPr>
          <w:lang w:val="nl-NL"/>
        </w:rPr>
      </w:pPr>
      <w:r w:rsidRPr="00883B7F">
        <w:rPr>
          <w:rFonts w:eastAsiaTheme="majorEastAsia"/>
          <w:snapToGrid/>
          <w:color w:val="auto"/>
        </w:rPr>
        <w:t>Ethische gedragscode voor veiligheidsconsulenten (Kruispuntbank voor Sociale Zekerheid)</w:t>
      </w:r>
    </w:p>
    <w:p w:rsidR="00975164" w:rsidRDefault="00975164" w:rsidP="00975164">
      <w:pPr>
        <w:pStyle w:val="Opsomming2"/>
        <w:numPr>
          <w:ilvl w:val="0"/>
          <w:numId w:val="0"/>
        </w:numPr>
        <w:ind w:left="568" w:hanging="284"/>
      </w:pPr>
      <w:r>
        <w:rPr>
          <w:lang w:val="nl-NL"/>
        </w:rPr>
        <w:t xml:space="preserve">  </w:t>
      </w:r>
      <w:hyperlink r:id="rId10" w:history="1">
        <w:r w:rsidRPr="001F3838">
          <w:rPr>
            <w:rStyle w:val="Hyperlink"/>
            <w:b/>
          </w:rPr>
          <w:t>https://www.ksz.fgov.be/binaries/documentation/nl/securite/ethgedrag.pdf</w:t>
        </w:r>
      </w:hyperlink>
      <w:r>
        <w:t xml:space="preserve"> </w:t>
      </w:r>
    </w:p>
    <w:p w:rsidR="00975164" w:rsidRPr="00EE25EF" w:rsidRDefault="00975164" w:rsidP="00975164">
      <w:pPr>
        <w:pStyle w:val="Geenafstand"/>
        <w:numPr>
          <w:ilvl w:val="0"/>
          <w:numId w:val="9"/>
        </w:numPr>
        <w:rPr>
          <w:rFonts w:eastAsiaTheme="majorEastAsia"/>
        </w:rPr>
      </w:pPr>
      <w:r w:rsidRPr="00EE25EF">
        <w:rPr>
          <w:rFonts w:eastAsiaTheme="majorEastAsia"/>
        </w:rPr>
        <w:t>VERORDENING (EU) 2016/679 VAN HET EUROPEES PARLEMENT EN DE RAAD</w:t>
      </w:r>
    </w:p>
    <w:p w:rsidR="00975164" w:rsidRPr="00EE25EF" w:rsidRDefault="00975164" w:rsidP="00975164">
      <w:pPr>
        <w:pStyle w:val="Geenafstand"/>
        <w:ind w:left="360"/>
        <w:rPr>
          <w:rFonts w:eastAsiaTheme="majorEastAsia"/>
        </w:rPr>
      </w:pPr>
      <w:r w:rsidRPr="00EE25EF">
        <w:rPr>
          <w:rFonts w:eastAsiaTheme="majorEastAsia"/>
        </w:rPr>
        <w:t>van 27 april 2016</w:t>
      </w:r>
    </w:p>
    <w:p w:rsidR="00975164" w:rsidRDefault="00975164" w:rsidP="00975164">
      <w:pPr>
        <w:pStyle w:val="Geenafstand"/>
        <w:ind w:left="360"/>
      </w:pPr>
      <w:r w:rsidRPr="00EE25EF">
        <w:rPr>
          <w:rFonts w:eastAsiaTheme="majorEastAsia"/>
        </w:rPr>
        <w:t>betreffende de bescherming van natuurlijke personen in verband met de verwerking van persoonsgegevens en betreffende het vrije verkeer van die gegevens en tot intrekking van Richtlijn 95/46/EG (algemene verordening gegevensbescherming)</w:t>
      </w:r>
      <w:r>
        <w:rPr>
          <w:rFonts w:eastAsiaTheme="majorEastAsia"/>
        </w:rPr>
        <w:t xml:space="preserve"> </w:t>
      </w:r>
      <w:hyperlink r:id="rId11" w:history="1">
        <w:r w:rsidRPr="001F3838">
          <w:rPr>
            <w:rStyle w:val="Hyperlink"/>
          </w:rPr>
          <w:t>http://eur-lex.europa.eu/legal-content/NL/TXT/?uri=CELEX:32016R0679</w:t>
        </w:r>
      </w:hyperlink>
    </w:p>
    <w:p w:rsidR="00B251F7" w:rsidRDefault="006C2BB5" w:rsidP="00B251F7">
      <w:pPr>
        <w:pStyle w:val="Kop1"/>
      </w:pPr>
      <w:r>
        <w:t>Informatieveiligheidsbeleid CLB</w:t>
      </w:r>
    </w:p>
    <w:p w:rsidR="00751303" w:rsidRDefault="00751303" w:rsidP="00F31E1F">
      <w:pPr>
        <w:pStyle w:val="Kop2"/>
      </w:pPr>
      <w:r>
        <w:t>Verantwoordelijkheden</w:t>
      </w:r>
    </w:p>
    <w:p w:rsidR="00F31E1F" w:rsidRDefault="00F31E1F" w:rsidP="00751303">
      <w:pPr>
        <w:pStyle w:val="Geenafstand"/>
      </w:pPr>
    </w:p>
    <w:p w:rsidR="00751303" w:rsidRDefault="00751303" w:rsidP="00751303">
      <w:pPr>
        <w:pStyle w:val="Geenafstand"/>
      </w:pPr>
      <w:r>
        <w:t>D</w:t>
      </w:r>
      <w:r w:rsidR="00946A0D">
        <w:t>irectie</w:t>
      </w:r>
      <w:r>
        <w:t xml:space="preserve">: </w:t>
      </w:r>
    </w:p>
    <w:p w:rsidR="00751303" w:rsidRDefault="0067186F" w:rsidP="00650D82">
      <w:pPr>
        <w:pStyle w:val="Geenafstand"/>
        <w:numPr>
          <w:ilvl w:val="0"/>
          <w:numId w:val="5"/>
        </w:numPr>
      </w:pPr>
      <w:r>
        <w:t>V</w:t>
      </w:r>
      <w:r w:rsidR="00751303">
        <w:t>erantwoordelijkheid en aansprakelijkheid informatieveiligheid CLB</w:t>
      </w:r>
    </w:p>
    <w:p w:rsidR="005C4418" w:rsidRDefault="0067186F" w:rsidP="00650D82">
      <w:pPr>
        <w:pStyle w:val="Geenafstand"/>
        <w:numPr>
          <w:ilvl w:val="0"/>
          <w:numId w:val="5"/>
        </w:numPr>
      </w:pPr>
      <w:r>
        <w:t>O</w:t>
      </w:r>
      <w:r w:rsidR="005C4418">
        <w:t xml:space="preserve">prichten </w:t>
      </w:r>
      <w:r w:rsidR="00946A0D">
        <w:t>Informatie</w:t>
      </w:r>
      <w:r w:rsidR="005C4418">
        <w:t>veiligheidscel</w:t>
      </w:r>
      <w:r w:rsidR="00650D82">
        <w:t xml:space="preserve"> (kunnen opgenomen worden in deze cel: Directie, aanspreekpunt IV, ICT-verantwoordelijke, kwaliteitscoördinator, interne preventieadviseur, personeelsverantwoordelijke)</w:t>
      </w:r>
    </w:p>
    <w:p w:rsidR="00751303" w:rsidRDefault="0067186F" w:rsidP="00650D82">
      <w:pPr>
        <w:pStyle w:val="Geenafstand"/>
        <w:numPr>
          <w:ilvl w:val="0"/>
          <w:numId w:val="5"/>
        </w:numPr>
      </w:pPr>
      <w:r>
        <w:t>A</w:t>
      </w:r>
      <w:r w:rsidR="00751303">
        <w:t>anduiden aanspreekpunt</w:t>
      </w:r>
      <w:r w:rsidR="008942A5">
        <w:t xml:space="preserve"> voor de </w:t>
      </w:r>
      <w:proofErr w:type="spellStart"/>
      <w:r w:rsidR="008942A5">
        <w:t>Netoverstijgende</w:t>
      </w:r>
      <w:proofErr w:type="spellEnd"/>
      <w:r w:rsidR="008942A5">
        <w:t xml:space="preserve"> Werkgroep I</w:t>
      </w:r>
      <w:r w:rsidR="00650D82">
        <w:t>nformatieveiligheid CLB (NWGIVCLB)</w:t>
      </w:r>
    </w:p>
    <w:p w:rsidR="00750799" w:rsidRDefault="00750799" w:rsidP="00750799">
      <w:pPr>
        <w:pStyle w:val="Geenafstand"/>
      </w:pPr>
    </w:p>
    <w:p w:rsidR="00751303" w:rsidRDefault="00751303" w:rsidP="004F6CFB">
      <w:pPr>
        <w:pStyle w:val="Geenafstand"/>
      </w:pPr>
    </w:p>
    <w:p w:rsidR="00751303" w:rsidRDefault="00946A0D" w:rsidP="004F6CFB">
      <w:pPr>
        <w:pStyle w:val="Geenafstand"/>
      </w:pPr>
      <w:r>
        <w:t>Informatiev</w:t>
      </w:r>
      <w:r w:rsidR="005C4418">
        <w:t>eiligheidscel:</w:t>
      </w:r>
    </w:p>
    <w:p w:rsidR="00650D82" w:rsidRDefault="004F6CFB" w:rsidP="004F6CFB">
      <w:pPr>
        <w:pStyle w:val="Geenafstand"/>
        <w:numPr>
          <w:ilvl w:val="0"/>
          <w:numId w:val="6"/>
        </w:numPr>
      </w:pPr>
      <w:r>
        <w:t>Initiëren</w:t>
      </w:r>
      <w:r w:rsidR="00650D82">
        <w:t xml:space="preserve"> informatieveiligheidsbeleid</w:t>
      </w:r>
    </w:p>
    <w:p w:rsidR="005C4418" w:rsidRDefault="004F6CFB" w:rsidP="004F6CFB">
      <w:pPr>
        <w:pStyle w:val="Geenafstand"/>
        <w:numPr>
          <w:ilvl w:val="0"/>
          <w:numId w:val="6"/>
        </w:numPr>
      </w:pPr>
      <w:r>
        <w:t xml:space="preserve">Uitvoeren </w:t>
      </w:r>
      <w:r w:rsidR="005C4418">
        <w:t>van de beslissingen</w:t>
      </w:r>
      <w:r w:rsidR="003B78AD">
        <w:t xml:space="preserve"> en toepassen van richtlijnen</w:t>
      </w:r>
    </w:p>
    <w:p w:rsidR="00750799" w:rsidRDefault="00750799" w:rsidP="004F6CFB">
      <w:pPr>
        <w:pStyle w:val="Geenafstand"/>
        <w:numPr>
          <w:ilvl w:val="0"/>
          <w:numId w:val="6"/>
        </w:numPr>
      </w:pPr>
      <w:r>
        <w:t>Kaderen informatieveiligheid binnen interne kwaliteitszorg</w:t>
      </w:r>
    </w:p>
    <w:p w:rsidR="00B86BE1" w:rsidRDefault="00B86BE1" w:rsidP="004F6CFB">
      <w:pPr>
        <w:pStyle w:val="Geenafstand"/>
        <w:numPr>
          <w:ilvl w:val="0"/>
          <w:numId w:val="6"/>
        </w:numPr>
      </w:pPr>
      <w:r>
        <w:t>Rapporteren aan veiligheidsconsulent en Inrichtend Bestuur</w:t>
      </w:r>
    </w:p>
    <w:p w:rsidR="00975164" w:rsidRDefault="00975164" w:rsidP="00975164">
      <w:pPr>
        <w:pStyle w:val="Geenafstand"/>
      </w:pPr>
    </w:p>
    <w:p w:rsidR="004F6CFB" w:rsidRDefault="004F6CFB" w:rsidP="004F6CFB">
      <w:pPr>
        <w:pStyle w:val="Geenafstand"/>
      </w:pPr>
    </w:p>
    <w:p w:rsidR="004F6CFB" w:rsidRDefault="004F6CFB" w:rsidP="0067186F">
      <w:pPr>
        <w:pStyle w:val="Geenafstand"/>
      </w:pPr>
      <w:r>
        <w:t>Aanspreekpunt:</w:t>
      </w:r>
    </w:p>
    <w:p w:rsidR="00751303" w:rsidRDefault="00946A0D" w:rsidP="0067186F">
      <w:pPr>
        <w:pStyle w:val="Geenafstand"/>
        <w:numPr>
          <w:ilvl w:val="0"/>
          <w:numId w:val="7"/>
        </w:numPr>
      </w:pPr>
      <w:r>
        <w:t>Is coördinerend lid van de Informatiev</w:t>
      </w:r>
      <w:r w:rsidR="0067186F">
        <w:t>eiligheidscel</w:t>
      </w:r>
    </w:p>
    <w:p w:rsidR="0067186F" w:rsidRDefault="0067186F" w:rsidP="0067186F">
      <w:pPr>
        <w:pStyle w:val="Geenafstand"/>
        <w:numPr>
          <w:ilvl w:val="0"/>
          <w:numId w:val="7"/>
        </w:numPr>
      </w:pPr>
      <w:r>
        <w:t>Optr</w:t>
      </w:r>
      <w:r w:rsidR="00C37FDF">
        <w:t xml:space="preserve">eden als aanspreekpunt voor de </w:t>
      </w:r>
      <w:proofErr w:type="spellStart"/>
      <w:r w:rsidR="00C37FDF">
        <w:t>N</w:t>
      </w:r>
      <w:r>
        <w:t>etoverstijgende</w:t>
      </w:r>
      <w:proofErr w:type="spellEnd"/>
      <w:r>
        <w:t xml:space="preserve"> werkgroep informatieveiligheid CLB (NWGIVCLB)</w:t>
      </w:r>
    </w:p>
    <w:p w:rsidR="00D2375A" w:rsidRDefault="00D2375A" w:rsidP="0067186F">
      <w:pPr>
        <w:pStyle w:val="Geenafstand"/>
        <w:numPr>
          <w:ilvl w:val="0"/>
          <w:numId w:val="7"/>
        </w:numPr>
      </w:pPr>
      <w:r>
        <w:t>Neemt deel aan vormingen georganiseerd door de NWGVCLB</w:t>
      </w:r>
    </w:p>
    <w:p w:rsidR="00AE411E" w:rsidRDefault="00AE411E" w:rsidP="00AE411E">
      <w:pPr>
        <w:pStyle w:val="Geenafstand"/>
        <w:ind w:left="360"/>
      </w:pPr>
    </w:p>
    <w:p w:rsidR="00E10C78" w:rsidRDefault="00E10C78" w:rsidP="00AE411E">
      <w:pPr>
        <w:pStyle w:val="Kop2"/>
      </w:pPr>
    </w:p>
    <w:p w:rsidR="00E10C78" w:rsidRDefault="00E10C78" w:rsidP="00AE411E">
      <w:pPr>
        <w:pStyle w:val="Kop2"/>
      </w:pPr>
    </w:p>
    <w:p w:rsidR="00E10C78" w:rsidRDefault="00E10C78" w:rsidP="00AE411E">
      <w:pPr>
        <w:pStyle w:val="Kop2"/>
      </w:pPr>
    </w:p>
    <w:p w:rsidR="0067186F" w:rsidRDefault="00AE411E" w:rsidP="00AE411E">
      <w:pPr>
        <w:pStyle w:val="Kop2"/>
      </w:pPr>
      <w:bookmarkStart w:id="0" w:name="_GoBack"/>
      <w:bookmarkEnd w:id="0"/>
      <w:r>
        <w:t>Taken informatieveiligheidscel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O</w:t>
      </w:r>
      <w:r w:rsidR="00B251F7" w:rsidRPr="00EE0F04">
        <w:t>pstellen en actualiseren van het informatieveiligheidsbeleid voor het CLB, vertrekkend vanuit een beschrijving van de huidige situatie</w:t>
      </w:r>
    </w:p>
    <w:p w:rsidR="00FF1C1F" w:rsidRDefault="00E114B2">
      <w:pPr>
        <w:pStyle w:val="Geenafstand"/>
        <w:numPr>
          <w:ilvl w:val="0"/>
          <w:numId w:val="6"/>
        </w:numPr>
      </w:pPr>
      <w:r>
        <w:t>Opstellen en bijhouden van register van verwerking van persoonsgegevens</w:t>
      </w:r>
    </w:p>
    <w:p w:rsidR="006C2BB5" w:rsidRPr="00EE0F04" w:rsidRDefault="009613E3" w:rsidP="00EE0F04">
      <w:pPr>
        <w:pStyle w:val="Geenafstand"/>
        <w:numPr>
          <w:ilvl w:val="0"/>
          <w:numId w:val="6"/>
        </w:numPr>
      </w:pPr>
      <w:r>
        <w:t>V</w:t>
      </w:r>
      <w:r w:rsidR="006C2BB5" w:rsidRPr="00EE0F04">
        <w:t>erzamelen en registreren van informatie over de aanwezige beveiligingsmaatregelen</w:t>
      </w:r>
    </w:p>
    <w:p w:rsidR="00DC2487" w:rsidRPr="00EE0F04" w:rsidRDefault="009613E3" w:rsidP="00EE0F04">
      <w:pPr>
        <w:pStyle w:val="Geenafstand"/>
        <w:numPr>
          <w:ilvl w:val="0"/>
          <w:numId w:val="6"/>
        </w:numPr>
      </w:pPr>
      <w:r>
        <w:t>U</w:t>
      </w:r>
      <w:r w:rsidR="00DC2487" w:rsidRPr="00EE0F04">
        <w:t>itvoeren van </w:t>
      </w:r>
      <w:hyperlink r:id="rId12" w:history="1">
        <w:r w:rsidR="00DC2487" w:rsidRPr="00EE0F04">
          <w:t>risicoanalyse</w:t>
        </w:r>
      </w:hyperlink>
      <w:r w:rsidR="00DC2487" w:rsidRPr="00EE0F04">
        <w:t xml:space="preserve"> inzake informatieveiligheidsbeleid </w:t>
      </w:r>
    </w:p>
    <w:p w:rsidR="006C2BB5" w:rsidRPr="00EE0F04" w:rsidRDefault="009613E3" w:rsidP="00EE0F04">
      <w:pPr>
        <w:pStyle w:val="Geenafstand"/>
        <w:numPr>
          <w:ilvl w:val="0"/>
          <w:numId w:val="6"/>
        </w:numPr>
      </w:pPr>
      <w:r>
        <w:t>V</w:t>
      </w:r>
      <w:r w:rsidR="006C2BB5" w:rsidRPr="00EE0F04">
        <w:t>oorstellen beheersmaatregelen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U</w:t>
      </w:r>
      <w:r w:rsidR="00B251F7" w:rsidRPr="00EE0F04">
        <w:t xml:space="preserve">itwerken van </w:t>
      </w:r>
      <w:r w:rsidR="006C2BB5" w:rsidRPr="00EE0F04">
        <w:t>veiligheidsplan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S</w:t>
      </w:r>
      <w:r w:rsidR="00732EB9" w:rsidRPr="00EE0F04">
        <w:t xml:space="preserve">timuleren van veiligheidsbewustzijn: </w:t>
      </w:r>
      <w:r w:rsidR="00B251F7" w:rsidRPr="00EE0F04">
        <w:t>verzorgen en coördineren van voorlichting en interne opleiding van personeel op gebied van informatiebeveiliging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T</w:t>
      </w:r>
      <w:r w:rsidR="00B251F7" w:rsidRPr="00EE0F04">
        <w:t>oezicht houden op de implementatie en naleving van het informatieveiligheidsbeleid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R</w:t>
      </w:r>
      <w:r w:rsidR="00B251F7" w:rsidRPr="00EE0F04">
        <w:t>egistre</w:t>
      </w:r>
      <w:r w:rsidR="00732EB9" w:rsidRPr="00EE0F04">
        <w:t>ren van</w:t>
      </w:r>
      <w:r w:rsidR="00B251F7" w:rsidRPr="00EE0F04">
        <w:t xml:space="preserve"> veiligheidsincidenten</w:t>
      </w:r>
      <w:r w:rsidR="00EE0F04" w:rsidRPr="00EE0F04">
        <w:t xml:space="preserve"> en de remediëring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R</w:t>
      </w:r>
      <w:r w:rsidR="00B251F7" w:rsidRPr="00EE0F04">
        <w:t>apporter</w:t>
      </w:r>
      <w:r w:rsidR="00F31E1F" w:rsidRPr="00EE0F04">
        <w:t>e</w:t>
      </w:r>
      <w:r w:rsidR="00B251F7" w:rsidRPr="00EE0F04">
        <w:t>n aan de directie</w:t>
      </w:r>
      <w:r w:rsidR="00EE0F04" w:rsidRPr="00EE0F04">
        <w:t>/inrichtend bestuur/informatieveiligheidsconsulent</w:t>
      </w:r>
    </w:p>
    <w:p w:rsidR="00B251F7" w:rsidRPr="00EE0F04" w:rsidRDefault="009613E3" w:rsidP="00EE0F04">
      <w:pPr>
        <w:pStyle w:val="Geenafstand"/>
        <w:numPr>
          <w:ilvl w:val="0"/>
          <w:numId w:val="6"/>
        </w:numPr>
      </w:pPr>
      <w:r>
        <w:t>O</w:t>
      </w:r>
      <w:r w:rsidR="00B251F7" w:rsidRPr="00EE0F04">
        <w:t>nderhouden van interne en externe contacten binnen dit kader</w:t>
      </w:r>
    </w:p>
    <w:p w:rsidR="00DC2487" w:rsidRDefault="009613E3" w:rsidP="00EE0F04">
      <w:pPr>
        <w:pStyle w:val="Geenafstand"/>
        <w:numPr>
          <w:ilvl w:val="0"/>
          <w:numId w:val="6"/>
        </w:numPr>
      </w:pPr>
      <w:r>
        <w:t>O</w:t>
      </w:r>
      <w:r w:rsidR="00EE0F04">
        <w:t xml:space="preserve">p de hoogte blijven </w:t>
      </w:r>
      <w:r w:rsidR="00B251F7" w:rsidRPr="00EE0F04">
        <w:t>van nieuwe ontwikkelingen en wetgeving op gebied van informatiebeve</w:t>
      </w:r>
      <w:r w:rsidR="00FA41F7">
        <w:t>i</w:t>
      </w:r>
      <w:r w:rsidR="00B251F7" w:rsidRPr="00EE0F04">
        <w:t>liging</w:t>
      </w:r>
    </w:p>
    <w:p w:rsidR="003F121B" w:rsidRDefault="003F121B" w:rsidP="003F121B">
      <w:pPr>
        <w:ind w:firstLine="360"/>
      </w:pPr>
      <w:r>
        <w:t xml:space="preserve"> </w:t>
      </w:r>
    </w:p>
    <w:p w:rsidR="00FA41F7" w:rsidRDefault="00FA41F7" w:rsidP="00FA41F7">
      <w:pPr>
        <w:pStyle w:val="Geenafstand"/>
      </w:pPr>
    </w:p>
    <w:sectPr w:rsidR="00FA41F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64" w:rsidRDefault="00975164" w:rsidP="00A842B9">
      <w:pPr>
        <w:spacing w:after="0" w:line="240" w:lineRule="auto"/>
      </w:pPr>
      <w:r>
        <w:separator/>
      </w:r>
    </w:p>
  </w:endnote>
  <w:endnote w:type="continuationSeparator" w:id="0">
    <w:p w:rsidR="00975164" w:rsidRDefault="00975164" w:rsidP="00A8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-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4" w:rsidRDefault="00975164">
    <w:pPr>
      <w:pStyle w:val="Voettekst"/>
    </w:pPr>
    <w:r>
      <w:t>NWGIVCLB – Rol en taken informatieveiligheid – 04/09/2017 – V1.0</w:t>
    </w:r>
  </w:p>
  <w:p w:rsidR="00975164" w:rsidRDefault="009751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64" w:rsidRDefault="00975164" w:rsidP="00A842B9">
      <w:pPr>
        <w:spacing w:after="0" w:line="240" w:lineRule="auto"/>
      </w:pPr>
      <w:r>
        <w:separator/>
      </w:r>
    </w:p>
  </w:footnote>
  <w:footnote w:type="continuationSeparator" w:id="0">
    <w:p w:rsidR="00975164" w:rsidRDefault="00975164" w:rsidP="00A8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4" w:rsidRDefault="00975164" w:rsidP="00081335">
    <w:pPr>
      <w:pStyle w:val="Koptekst"/>
    </w:pPr>
    <w:proofErr w:type="spellStart"/>
    <w:r>
      <w:rPr>
        <w:i/>
        <w:iCs/>
        <w:sz w:val="60"/>
        <w:szCs w:val="60"/>
        <w:lang w:val="fr-BE"/>
      </w:rPr>
      <w:t>ISC</w:t>
    </w:r>
    <w:r>
      <w:rPr>
        <w:lang w:val="fr-BE"/>
      </w:rPr>
      <w:t>internettensamenwerkingscel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23D"/>
    <w:multiLevelType w:val="multilevel"/>
    <w:tmpl w:val="06101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5223C9"/>
    <w:multiLevelType w:val="hybridMultilevel"/>
    <w:tmpl w:val="FE28DCD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72224"/>
    <w:multiLevelType w:val="hybridMultilevel"/>
    <w:tmpl w:val="EF8EC312"/>
    <w:lvl w:ilvl="0" w:tplc="412CA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A4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C42B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462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24AD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AC0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F65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24F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78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F13ED"/>
    <w:multiLevelType w:val="hybridMultilevel"/>
    <w:tmpl w:val="3F4A62A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AA0E4C"/>
    <w:multiLevelType w:val="hybridMultilevel"/>
    <w:tmpl w:val="511AD0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61FCF"/>
    <w:multiLevelType w:val="multilevel"/>
    <w:tmpl w:val="FDCAE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F020EFE"/>
    <w:multiLevelType w:val="singleLevel"/>
    <w:tmpl w:val="CFD22ABC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7">
    <w:nsid w:val="6AE7661C"/>
    <w:multiLevelType w:val="hybridMultilevel"/>
    <w:tmpl w:val="165E58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497ED4"/>
    <w:multiLevelType w:val="hybridMultilevel"/>
    <w:tmpl w:val="3702D6C0"/>
    <w:lvl w:ilvl="0" w:tplc="970C0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9CC05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83027B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4B3832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7AA9E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AF200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D8C15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B2AAA5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C7ABF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20744C6"/>
    <w:multiLevelType w:val="hybridMultilevel"/>
    <w:tmpl w:val="3702D6C0"/>
    <w:lvl w:ilvl="0" w:tplc="5E4A9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56AFC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4906BB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82F805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EB4A7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0FA2C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175A5F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82C00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8AACA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89407E0"/>
    <w:multiLevelType w:val="singleLevel"/>
    <w:tmpl w:val="A7981C3A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8"/>
    <w:rsid w:val="00081335"/>
    <w:rsid w:val="000961A8"/>
    <w:rsid w:val="000D5DAF"/>
    <w:rsid w:val="001C5CFF"/>
    <w:rsid w:val="001F6406"/>
    <w:rsid w:val="002232E9"/>
    <w:rsid w:val="00231784"/>
    <w:rsid w:val="002E4986"/>
    <w:rsid w:val="0035067D"/>
    <w:rsid w:val="003B78AD"/>
    <w:rsid w:val="003C068A"/>
    <w:rsid w:val="003E49CF"/>
    <w:rsid w:val="003F121B"/>
    <w:rsid w:val="003F2EF0"/>
    <w:rsid w:val="00407399"/>
    <w:rsid w:val="0049075D"/>
    <w:rsid w:val="004E487B"/>
    <w:rsid w:val="004E4BC6"/>
    <w:rsid w:val="004F355E"/>
    <w:rsid w:val="004F6CFB"/>
    <w:rsid w:val="00543D72"/>
    <w:rsid w:val="005C4418"/>
    <w:rsid w:val="00623B07"/>
    <w:rsid w:val="00650D82"/>
    <w:rsid w:val="0067186F"/>
    <w:rsid w:val="006C2BB5"/>
    <w:rsid w:val="006F79CB"/>
    <w:rsid w:val="00732EB9"/>
    <w:rsid w:val="00750799"/>
    <w:rsid w:val="00751303"/>
    <w:rsid w:val="00782474"/>
    <w:rsid w:val="007D2D6B"/>
    <w:rsid w:val="00883B7F"/>
    <w:rsid w:val="008942A5"/>
    <w:rsid w:val="00946A0D"/>
    <w:rsid w:val="009613E3"/>
    <w:rsid w:val="00975164"/>
    <w:rsid w:val="00991D62"/>
    <w:rsid w:val="009B2B17"/>
    <w:rsid w:val="009E1F10"/>
    <w:rsid w:val="00A537C2"/>
    <w:rsid w:val="00A73887"/>
    <w:rsid w:val="00A842B9"/>
    <w:rsid w:val="00A85207"/>
    <w:rsid w:val="00AE411E"/>
    <w:rsid w:val="00B251F7"/>
    <w:rsid w:val="00B34F8A"/>
    <w:rsid w:val="00B749AF"/>
    <w:rsid w:val="00B8601A"/>
    <w:rsid w:val="00B86BE1"/>
    <w:rsid w:val="00B95D1D"/>
    <w:rsid w:val="00BE2344"/>
    <w:rsid w:val="00C37FDF"/>
    <w:rsid w:val="00C5710D"/>
    <w:rsid w:val="00C60B47"/>
    <w:rsid w:val="00D2375A"/>
    <w:rsid w:val="00D437C0"/>
    <w:rsid w:val="00DC2487"/>
    <w:rsid w:val="00DD105A"/>
    <w:rsid w:val="00E10C78"/>
    <w:rsid w:val="00E114B2"/>
    <w:rsid w:val="00E460E8"/>
    <w:rsid w:val="00EB5DA6"/>
    <w:rsid w:val="00EE0F04"/>
    <w:rsid w:val="00EE25EF"/>
    <w:rsid w:val="00F119F3"/>
    <w:rsid w:val="00F31E1F"/>
    <w:rsid w:val="00FA41F7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link w:val="Kop2Char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link w:val="Kop3Char"/>
    <w:qFormat/>
    <w:pPr>
      <w:spacing w:before="200"/>
      <w:outlineLvl w:val="2"/>
    </w:pPr>
    <w:rPr>
      <w:b/>
      <w:color w:val="4F81BD"/>
      <w:sz w:val="24"/>
    </w:rPr>
  </w:style>
  <w:style w:type="paragraph" w:styleId="Kop4">
    <w:name w:val="heading 4"/>
    <w:basedOn w:val="Kop3"/>
    <w:next w:val="Standaard"/>
    <w:link w:val="Kop4Char"/>
    <w:qFormat/>
    <w:rsid w:val="00B251F7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251F7"/>
    <w:rPr>
      <w:rFonts w:eastAsiaTheme="majorEastAsia" w:cstheme="majorBidi"/>
      <w:b/>
      <w:color w:val="1F497D" w:themeColor="text2"/>
      <w:kern w:val="28"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251F7"/>
    <w:rPr>
      <w:rFonts w:eastAsia="Times New Roman" w:cs="Times New Roman"/>
      <w:b/>
      <w:kern w:val="28"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251F7"/>
    <w:rPr>
      <w:rFonts w:eastAsia="Times New Roman" w:cs="Times New Roman"/>
      <w:b/>
      <w:kern w:val="28"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B251F7"/>
    <w:rPr>
      <w:rFonts w:eastAsia="Times New Roman" w:cs="Times New Roman"/>
      <w:kern w:val="28"/>
      <w:sz w:val="24"/>
      <w:szCs w:val="20"/>
      <w:lang w:eastAsia="nl-NL"/>
    </w:rPr>
  </w:style>
  <w:style w:type="paragraph" w:customStyle="1" w:styleId="Opsomming">
    <w:name w:val="Opsomming"/>
    <w:basedOn w:val="Standaard"/>
    <w:qFormat/>
    <w:rsid w:val="00B251F7"/>
    <w:pPr>
      <w:numPr>
        <w:numId w:val="1"/>
      </w:numPr>
      <w:tabs>
        <w:tab w:val="left" w:pos="1134"/>
      </w:tabs>
      <w:spacing w:after="0"/>
      <w:contextualSpacing/>
    </w:pPr>
    <w:rPr>
      <w:snapToGrid w:val="0"/>
      <w:color w:val="000000"/>
    </w:rPr>
  </w:style>
  <w:style w:type="paragraph" w:customStyle="1" w:styleId="Opsomming2">
    <w:name w:val="Opsomming 2"/>
    <w:basedOn w:val="Opsomming"/>
    <w:qFormat/>
    <w:rsid w:val="00B251F7"/>
    <w:pPr>
      <w:numPr>
        <w:numId w:val="2"/>
      </w:numPr>
      <w:tabs>
        <w:tab w:val="clear" w:pos="1134"/>
        <w:tab w:val="left" w:pos="1418"/>
      </w:tabs>
      <w:ind w:left="568" w:hanging="284"/>
    </w:pPr>
  </w:style>
  <w:style w:type="character" w:styleId="Hyperlink">
    <w:name w:val="Hyperlink"/>
    <w:basedOn w:val="Standaardalinea-lettertype"/>
    <w:unhideWhenUsed/>
    <w:rsid w:val="00B251F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51F7"/>
    <w:rPr>
      <w:color w:val="800080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751303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element-invisible1">
    <w:name w:val="element-invisible1"/>
    <w:basedOn w:val="Standaardalinea-lettertype"/>
    <w:rsid w:val="00B749AF"/>
  </w:style>
  <w:style w:type="paragraph" w:customStyle="1" w:styleId="doc-ti2">
    <w:name w:val="doc-ti2"/>
    <w:basedOn w:val="Standaard"/>
    <w:rsid w:val="00EE25EF"/>
    <w:pPr>
      <w:spacing w:before="240" w:after="120" w:line="312" w:lineRule="atLeast"/>
      <w:jc w:val="center"/>
    </w:pPr>
    <w:rPr>
      <w:rFonts w:ascii="Times New Roman" w:hAnsi="Times New Roman"/>
      <w:b/>
      <w:bCs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A8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2B9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8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2B9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2B9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78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8A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8AD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78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78AD"/>
    <w:rPr>
      <w:rFonts w:eastAsia="Times New Roman" w:cs="Times New Roman"/>
      <w:b/>
      <w:bCs/>
      <w:sz w:val="20"/>
      <w:szCs w:val="20"/>
      <w:lang w:eastAsia="nl-NL"/>
    </w:rPr>
  </w:style>
  <w:style w:type="paragraph" w:styleId="Titel">
    <w:name w:val="Title"/>
    <w:basedOn w:val="Standaard"/>
    <w:qFormat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qFormat/>
    <w:rPr>
      <w:i/>
      <w:color w:val="4F81BD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75164"/>
    <w:rPr>
      <w:rFonts w:eastAsia="Times New Roman" w:cs="Times New Roman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link w:val="Kop2Char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link w:val="Kop3Char"/>
    <w:qFormat/>
    <w:pPr>
      <w:spacing w:before="200"/>
      <w:outlineLvl w:val="2"/>
    </w:pPr>
    <w:rPr>
      <w:b/>
      <w:color w:val="4F81BD"/>
      <w:sz w:val="24"/>
    </w:rPr>
  </w:style>
  <w:style w:type="paragraph" w:styleId="Kop4">
    <w:name w:val="heading 4"/>
    <w:basedOn w:val="Kop3"/>
    <w:next w:val="Standaard"/>
    <w:link w:val="Kop4Char"/>
    <w:qFormat/>
    <w:rsid w:val="00B251F7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251F7"/>
    <w:rPr>
      <w:rFonts w:eastAsiaTheme="majorEastAsia" w:cstheme="majorBidi"/>
      <w:b/>
      <w:color w:val="1F497D" w:themeColor="text2"/>
      <w:kern w:val="28"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251F7"/>
    <w:rPr>
      <w:rFonts w:eastAsia="Times New Roman" w:cs="Times New Roman"/>
      <w:b/>
      <w:kern w:val="28"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251F7"/>
    <w:rPr>
      <w:rFonts w:eastAsia="Times New Roman" w:cs="Times New Roman"/>
      <w:b/>
      <w:kern w:val="28"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B251F7"/>
    <w:rPr>
      <w:rFonts w:eastAsia="Times New Roman" w:cs="Times New Roman"/>
      <w:kern w:val="28"/>
      <w:sz w:val="24"/>
      <w:szCs w:val="20"/>
      <w:lang w:eastAsia="nl-NL"/>
    </w:rPr>
  </w:style>
  <w:style w:type="paragraph" w:customStyle="1" w:styleId="Opsomming">
    <w:name w:val="Opsomming"/>
    <w:basedOn w:val="Standaard"/>
    <w:qFormat/>
    <w:rsid w:val="00B251F7"/>
    <w:pPr>
      <w:numPr>
        <w:numId w:val="1"/>
      </w:numPr>
      <w:tabs>
        <w:tab w:val="left" w:pos="1134"/>
      </w:tabs>
      <w:spacing w:after="0"/>
      <w:contextualSpacing/>
    </w:pPr>
    <w:rPr>
      <w:snapToGrid w:val="0"/>
      <w:color w:val="000000"/>
    </w:rPr>
  </w:style>
  <w:style w:type="paragraph" w:customStyle="1" w:styleId="Opsomming2">
    <w:name w:val="Opsomming 2"/>
    <w:basedOn w:val="Opsomming"/>
    <w:qFormat/>
    <w:rsid w:val="00B251F7"/>
    <w:pPr>
      <w:numPr>
        <w:numId w:val="2"/>
      </w:numPr>
      <w:tabs>
        <w:tab w:val="clear" w:pos="1134"/>
        <w:tab w:val="left" w:pos="1418"/>
      </w:tabs>
      <w:ind w:left="568" w:hanging="284"/>
    </w:pPr>
  </w:style>
  <w:style w:type="character" w:styleId="Hyperlink">
    <w:name w:val="Hyperlink"/>
    <w:basedOn w:val="Standaardalinea-lettertype"/>
    <w:unhideWhenUsed/>
    <w:rsid w:val="00B251F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51F7"/>
    <w:rPr>
      <w:color w:val="800080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751303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element-invisible1">
    <w:name w:val="element-invisible1"/>
    <w:basedOn w:val="Standaardalinea-lettertype"/>
    <w:rsid w:val="00B749AF"/>
  </w:style>
  <w:style w:type="paragraph" w:customStyle="1" w:styleId="doc-ti2">
    <w:name w:val="doc-ti2"/>
    <w:basedOn w:val="Standaard"/>
    <w:rsid w:val="00EE25EF"/>
    <w:pPr>
      <w:spacing w:before="240" w:after="120" w:line="312" w:lineRule="atLeast"/>
      <w:jc w:val="center"/>
    </w:pPr>
    <w:rPr>
      <w:rFonts w:ascii="Times New Roman" w:hAnsi="Times New Roman"/>
      <w:b/>
      <w:bCs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A8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2B9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8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2B9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2B9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78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8A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8AD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78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78AD"/>
    <w:rPr>
      <w:rFonts w:eastAsia="Times New Roman" w:cs="Times New Roman"/>
      <w:b/>
      <w:bCs/>
      <w:sz w:val="20"/>
      <w:szCs w:val="20"/>
      <w:lang w:eastAsia="nl-NL"/>
    </w:rPr>
  </w:style>
  <w:style w:type="paragraph" w:styleId="Titel">
    <w:name w:val="Title"/>
    <w:basedOn w:val="Standaard"/>
    <w:qFormat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qFormat/>
    <w:rPr>
      <w:i/>
      <w:color w:val="4F81BD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75164"/>
    <w:rPr>
      <w:rFonts w:eastAsia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1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99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3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67819">
                                          <w:marLeft w:val="3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7635">
                                              <w:marLeft w:val="3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erheid.vlaanderen.be/sites/default/files/eIB_documents/E_GOV_decreet_BVR_VEILIGHEID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clb-koepel.be/beleid-organisatie/informatieveiligheid2/risicoanalyse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NL/TXT/?uri=CELEX:32016R06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sz.fgov.be/binaries/documentation/nl/securite/ethgedra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tc.corve.be/docs/E_GOV_decreet_BVR_VEILIGHEID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7CDFA9A7.dotm</Template>
  <TotalTime>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Descamps Sofie</dc:creator>
  <cp:lastModifiedBy>Descamps Sofie</cp:lastModifiedBy>
  <cp:revision>2</cp:revision>
  <dcterms:created xsi:type="dcterms:W3CDTF">2017-09-01T09:40:00Z</dcterms:created>
  <dcterms:modified xsi:type="dcterms:W3CDTF">2017-09-01T09:40:00Z</dcterms:modified>
</cp:coreProperties>
</file>